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83BDF4" w14:textId="04A24CB8" w:rsidR="00F572F4" w:rsidRDefault="003D5014" w:rsidP="003D5014">
      <w:pPr>
        <w:jc w:val="center"/>
        <w:rPr>
          <w:b/>
          <w:bCs/>
          <w:sz w:val="32"/>
          <w:szCs w:val="32"/>
        </w:rPr>
      </w:pPr>
      <w:r w:rsidRPr="003D5014">
        <w:rPr>
          <w:b/>
          <w:bCs/>
          <w:sz w:val="32"/>
          <w:szCs w:val="32"/>
        </w:rPr>
        <w:t xml:space="preserve">My </w:t>
      </w:r>
      <w:proofErr w:type="spellStart"/>
      <w:r w:rsidRPr="003D5014">
        <w:rPr>
          <w:b/>
          <w:bCs/>
          <w:sz w:val="32"/>
          <w:szCs w:val="32"/>
        </w:rPr>
        <w:t>NuArx</w:t>
      </w:r>
      <w:proofErr w:type="spellEnd"/>
      <w:r w:rsidRPr="003D5014">
        <w:rPr>
          <w:b/>
          <w:bCs/>
          <w:sz w:val="32"/>
          <w:szCs w:val="32"/>
        </w:rPr>
        <w:t xml:space="preserve"> Digital Readiness Map</w:t>
      </w:r>
    </w:p>
    <w:p w14:paraId="6165F31A" w14:textId="1F2C187F" w:rsidR="003D5014" w:rsidRDefault="003D5014" w:rsidP="003D5014">
      <w:pPr>
        <w:jc w:val="center"/>
        <w:rPr>
          <w:b/>
          <w:bCs/>
          <w:sz w:val="32"/>
          <w:szCs w:val="32"/>
        </w:rPr>
      </w:pPr>
    </w:p>
    <w:p w14:paraId="79B470C3" w14:textId="6A002096" w:rsidR="003D5014" w:rsidRDefault="003D5014" w:rsidP="003D5014">
      <w:pPr>
        <w:rPr>
          <w:sz w:val="22"/>
          <w:szCs w:val="22"/>
        </w:rPr>
      </w:pPr>
      <w:r>
        <w:rPr>
          <w:sz w:val="22"/>
          <w:szCs w:val="22"/>
        </w:rPr>
        <w:t xml:space="preserve">We have recently released the first of our map-based software solutions within My </w:t>
      </w:r>
      <w:proofErr w:type="spellStart"/>
      <w:r>
        <w:rPr>
          <w:sz w:val="22"/>
          <w:szCs w:val="22"/>
        </w:rPr>
        <w:t>NuArx</w:t>
      </w:r>
      <w:proofErr w:type="spellEnd"/>
      <w:r>
        <w:rPr>
          <w:sz w:val="22"/>
          <w:szCs w:val="22"/>
        </w:rPr>
        <w:t>, called the Digital Readiness Map. We plan on adding to these maps with additional functionality, but this was built first as proof of concept. Please read below for more info</w:t>
      </w:r>
    </w:p>
    <w:p w14:paraId="21EF1D2C" w14:textId="6D3EE312" w:rsidR="003D5014" w:rsidRDefault="003D5014" w:rsidP="003D5014">
      <w:pPr>
        <w:rPr>
          <w:sz w:val="22"/>
          <w:szCs w:val="22"/>
        </w:rPr>
      </w:pPr>
    </w:p>
    <w:p w14:paraId="209A0B53" w14:textId="4E7734CB" w:rsidR="003D5014" w:rsidRDefault="003D5014" w:rsidP="003D501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To access the map, in My </w:t>
      </w:r>
      <w:proofErr w:type="spellStart"/>
      <w:r>
        <w:rPr>
          <w:sz w:val="22"/>
          <w:szCs w:val="22"/>
        </w:rPr>
        <w:t>NuArx</w:t>
      </w:r>
      <w:proofErr w:type="spellEnd"/>
      <w:r>
        <w:rPr>
          <w:sz w:val="22"/>
          <w:szCs w:val="22"/>
        </w:rPr>
        <w:t xml:space="preserve"> click right-side menu and choose ‘</w:t>
      </w:r>
      <w:proofErr w:type="spellStart"/>
      <w:r>
        <w:rPr>
          <w:sz w:val="22"/>
          <w:szCs w:val="22"/>
        </w:rPr>
        <w:t>Geoview</w:t>
      </w:r>
      <w:proofErr w:type="spellEnd"/>
      <w:r>
        <w:rPr>
          <w:sz w:val="22"/>
          <w:szCs w:val="22"/>
        </w:rPr>
        <w:t>’. This opens up the ‘</w:t>
      </w:r>
      <w:proofErr w:type="spellStart"/>
      <w:r>
        <w:rPr>
          <w:sz w:val="22"/>
          <w:szCs w:val="22"/>
        </w:rPr>
        <w:t>NuArx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GeoView</w:t>
      </w:r>
      <w:proofErr w:type="spellEnd"/>
      <w:r>
        <w:rPr>
          <w:sz w:val="22"/>
          <w:szCs w:val="22"/>
        </w:rPr>
        <w:t>’ in a new browser tab</w:t>
      </w:r>
    </w:p>
    <w:p w14:paraId="229AEF2E" w14:textId="77777777" w:rsidR="003D5014" w:rsidRDefault="003D5014" w:rsidP="003D5014">
      <w:pPr>
        <w:pStyle w:val="ListParagraph"/>
        <w:rPr>
          <w:sz w:val="22"/>
          <w:szCs w:val="22"/>
        </w:rPr>
      </w:pPr>
    </w:p>
    <w:p w14:paraId="7DB045DB" w14:textId="0AD54621" w:rsidR="003D5014" w:rsidRDefault="003D5014" w:rsidP="003D5014">
      <w:pPr>
        <w:pStyle w:val="ListParagraph"/>
        <w:jc w:val="center"/>
        <w:rPr>
          <w:sz w:val="22"/>
          <w:szCs w:val="22"/>
        </w:rPr>
      </w:pPr>
      <w:r w:rsidRPr="003D5014">
        <w:rPr>
          <w:sz w:val="22"/>
          <w:szCs w:val="22"/>
        </w:rPr>
        <w:drawing>
          <wp:inline distT="0" distB="0" distL="0" distR="0" wp14:anchorId="0737CB9D" wp14:editId="399E5951">
            <wp:extent cx="3009900" cy="2336800"/>
            <wp:effectExtent l="12700" t="12700" r="12700" b="1270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368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2F02154" w14:textId="6AC4B71D" w:rsidR="003D5014" w:rsidRDefault="003D5014" w:rsidP="003D5014">
      <w:pPr>
        <w:pStyle w:val="ListParagraph"/>
        <w:jc w:val="center"/>
        <w:rPr>
          <w:sz w:val="22"/>
          <w:szCs w:val="22"/>
        </w:rPr>
      </w:pPr>
    </w:p>
    <w:p w14:paraId="17B1B7DE" w14:textId="6D515041" w:rsidR="003D5014" w:rsidRDefault="003D5014" w:rsidP="003D501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‘</w:t>
      </w:r>
      <w:proofErr w:type="spellStart"/>
      <w:r>
        <w:rPr>
          <w:sz w:val="22"/>
          <w:szCs w:val="22"/>
        </w:rPr>
        <w:t>Nuarx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GeoVew</w:t>
      </w:r>
      <w:proofErr w:type="spellEnd"/>
      <w:r>
        <w:rPr>
          <w:sz w:val="22"/>
          <w:szCs w:val="22"/>
        </w:rPr>
        <w:t>’ will house all of our map-based analytics solutions.  As of now, this will open to the Digital Readiness Map, as shown below:</w:t>
      </w:r>
    </w:p>
    <w:p w14:paraId="6380CAE4" w14:textId="440CABA2" w:rsidR="003D5014" w:rsidRDefault="003D5014" w:rsidP="003D5014">
      <w:pPr>
        <w:rPr>
          <w:sz w:val="22"/>
          <w:szCs w:val="22"/>
        </w:rPr>
      </w:pPr>
    </w:p>
    <w:p w14:paraId="3521368D" w14:textId="0C8CF21A" w:rsidR="003D5014" w:rsidRDefault="003D5014" w:rsidP="003D5014">
      <w:pPr>
        <w:rPr>
          <w:sz w:val="22"/>
          <w:szCs w:val="22"/>
        </w:rPr>
      </w:pPr>
      <w:r w:rsidRPr="003D5014">
        <w:rPr>
          <w:sz w:val="22"/>
          <w:szCs w:val="22"/>
        </w:rPr>
        <w:drawing>
          <wp:inline distT="0" distB="0" distL="0" distR="0" wp14:anchorId="45345DF7" wp14:editId="77BF9A3C">
            <wp:extent cx="6469326" cy="3454069"/>
            <wp:effectExtent l="12700" t="12700" r="8255" b="13335"/>
            <wp:docPr id="2" name="Picture 2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7080" cy="34955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AA49C55" w14:textId="77777777" w:rsidR="003D5014" w:rsidRDefault="003D5014" w:rsidP="003D501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This map is meant to show all </w:t>
      </w:r>
      <w:proofErr w:type="spellStart"/>
      <w:r>
        <w:rPr>
          <w:sz w:val="22"/>
          <w:szCs w:val="22"/>
        </w:rPr>
        <w:t>NuArx</w:t>
      </w:r>
      <w:proofErr w:type="spellEnd"/>
      <w:r>
        <w:rPr>
          <w:sz w:val="22"/>
          <w:szCs w:val="22"/>
        </w:rPr>
        <w:t xml:space="preserve"> stores, by brand, according to their ‘digital readiness’ as indicated by # of internet connections available. This map is showing real-time WAN status data, so customers without </w:t>
      </w:r>
      <w:proofErr w:type="spellStart"/>
      <w:r>
        <w:rPr>
          <w:sz w:val="22"/>
          <w:szCs w:val="22"/>
        </w:rPr>
        <w:t>NuArx’s</w:t>
      </w:r>
      <w:proofErr w:type="spellEnd"/>
      <w:r>
        <w:rPr>
          <w:sz w:val="22"/>
          <w:szCs w:val="22"/>
        </w:rPr>
        <w:t xml:space="preserve"> Network Monitoring services (PBB/LTE) will be shown in grey since they are not generating real-time monitoring data.</w:t>
      </w:r>
      <w:proofErr w:type="spellStart"/>
      <w:r>
        <w:rPr>
          <w:sz w:val="22"/>
          <w:szCs w:val="22"/>
        </w:rPr>
        <w:t xml:space="preserve"> </w:t>
      </w:r>
      <w:proofErr w:type="spellEnd"/>
    </w:p>
    <w:p w14:paraId="1D09670F" w14:textId="4DFB9CFB" w:rsidR="003D5014" w:rsidRDefault="003D5014" w:rsidP="003D5014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map’s color coding is as follows: </w:t>
      </w:r>
    </w:p>
    <w:p w14:paraId="43372298" w14:textId="168C1172" w:rsidR="003D5014" w:rsidRDefault="003D5014" w:rsidP="003D501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Stores with 2 connections available are labeled ‘Ready’ in </w:t>
      </w:r>
      <w:r w:rsidRPr="003D5014">
        <w:rPr>
          <w:sz w:val="22"/>
          <w:szCs w:val="22"/>
          <w:highlight w:val="green"/>
        </w:rPr>
        <w:t>Green</w:t>
      </w:r>
    </w:p>
    <w:p w14:paraId="2DA6F5AE" w14:textId="5C73A229" w:rsidR="003D5014" w:rsidRDefault="003D5014" w:rsidP="003D501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Stores with only 1 connection </w:t>
      </w:r>
      <w:proofErr w:type="gramStart"/>
      <w:r>
        <w:rPr>
          <w:sz w:val="22"/>
          <w:szCs w:val="22"/>
        </w:rPr>
        <w:t>available  (</w:t>
      </w:r>
      <w:proofErr w:type="gramEnd"/>
      <w:r>
        <w:rPr>
          <w:sz w:val="22"/>
          <w:szCs w:val="22"/>
        </w:rPr>
        <w:t xml:space="preserve">either non-LTE customers or LTE customers with WAN1/WAN2 not available) are labeled ‘At Risk’ in </w:t>
      </w:r>
      <w:r w:rsidRPr="003D5014">
        <w:rPr>
          <w:sz w:val="22"/>
          <w:szCs w:val="22"/>
          <w:highlight w:val="yellow"/>
        </w:rPr>
        <w:t>Yellow</w:t>
      </w:r>
    </w:p>
    <w:p w14:paraId="2117BC43" w14:textId="4B1D5942" w:rsidR="003D5014" w:rsidRDefault="003D5014" w:rsidP="003D501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Stores with no connections available are presumed offline and labeled ‘Not Ready’ in </w:t>
      </w:r>
      <w:r w:rsidRPr="003D5014">
        <w:rPr>
          <w:sz w:val="22"/>
          <w:szCs w:val="22"/>
          <w:highlight w:val="red"/>
        </w:rPr>
        <w:t>Red</w:t>
      </w:r>
    </w:p>
    <w:p w14:paraId="16307E21" w14:textId="43E3D260" w:rsidR="003D5014" w:rsidRDefault="003D5014" w:rsidP="003D5014">
      <w:pPr>
        <w:pStyle w:val="ListParagraph"/>
        <w:numPr>
          <w:ilvl w:val="1"/>
          <w:numId w:val="1"/>
        </w:numPr>
        <w:rPr>
          <w:sz w:val="22"/>
          <w:szCs w:val="22"/>
        </w:rPr>
      </w:pPr>
      <w:r>
        <w:rPr>
          <w:sz w:val="22"/>
          <w:szCs w:val="22"/>
        </w:rPr>
        <w:t>Stores with no real-time data (don’t have network monitoring services) are lab</w:t>
      </w:r>
      <w:r w:rsidR="00745CE9">
        <w:rPr>
          <w:sz w:val="22"/>
          <w:szCs w:val="22"/>
        </w:rPr>
        <w:t>ele</w:t>
      </w:r>
      <w:r>
        <w:rPr>
          <w:sz w:val="22"/>
          <w:szCs w:val="22"/>
        </w:rPr>
        <w:t xml:space="preserve">d ‘No Data’ in </w:t>
      </w:r>
      <w:r w:rsidRPr="003D5014">
        <w:rPr>
          <w:sz w:val="22"/>
          <w:szCs w:val="22"/>
          <w:highlight w:val="lightGray"/>
        </w:rPr>
        <w:t>Grey</w:t>
      </w:r>
      <w:r>
        <w:rPr>
          <w:sz w:val="22"/>
          <w:szCs w:val="22"/>
        </w:rPr>
        <w:t xml:space="preserve">. </w:t>
      </w:r>
    </w:p>
    <w:p w14:paraId="460F0A3B" w14:textId="77777777" w:rsidR="00A07D85" w:rsidRDefault="00745CE9" w:rsidP="00A07D8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You can filter by brand and by LTE status (for instance filter out non-LTE customers to </w:t>
      </w:r>
      <w:proofErr w:type="gramStart"/>
      <w:r>
        <w:rPr>
          <w:sz w:val="22"/>
          <w:szCs w:val="22"/>
        </w:rPr>
        <w:t>hone in on</w:t>
      </w:r>
      <w:proofErr w:type="gramEnd"/>
      <w:r>
        <w:rPr>
          <w:sz w:val="22"/>
          <w:szCs w:val="22"/>
        </w:rPr>
        <w:t xml:space="preserve"> problematic LTE customers with a connection offline)</w:t>
      </w:r>
    </w:p>
    <w:p w14:paraId="39E8B333" w14:textId="2F2F8B70" w:rsidR="00A07D85" w:rsidRDefault="00A07D85" w:rsidP="00A07D85">
      <w:pPr>
        <w:pStyle w:val="ListParagraph"/>
        <w:numPr>
          <w:ilvl w:val="0"/>
          <w:numId w:val="1"/>
        </w:numPr>
        <w:rPr>
          <w:sz w:val="22"/>
          <w:szCs w:val="22"/>
        </w:rPr>
      </w:pPr>
      <w:r w:rsidRPr="00A07D85">
        <w:rPr>
          <w:sz w:val="22"/>
          <w:szCs w:val="22"/>
        </w:rPr>
        <w:t xml:space="preserve">Cluster dots with count indicators on them indicate &gt;1 </w:t>
      </w:r>
      <w:proofErr w:type="gramStart"/>
      <w:r w:rsidRPr="00A07D85">
        <w:rPr>
          <w:sz w:val="22"/>
          <w:szCs w:val="22"/>
        </w:rPr>
        <w:t>location, and</w:t>
      </w:r>
      <w:proofErr w:type="gramEnd"/>
      <w:r w:rsidRPr="00A07D85">
        <w:rPr>
          <w:sz w:val="22"/>
          <w:szCs w:val="22"/>
        </w:rPr>
        <w:t xml:space="preserve"> are drillable down to single locations. Clicking on a single dot gives the location info (</w:t>
      </w:r>
      <w:proofErr w:type="spellStart"/>
      <w:r w:rsidRPr="00A07D85">
        <w:rPr>
          <w:sz w:val="22"/>
          <w:szCs w:val="22"/>
        </w:rPr>
        <w:t>siteID</w:t>
      </w:r>
      <w:proofErr w:type="spellEnd"/>
      <w:r w:rsidRPr="00A07D85">
        <w:rPr>
          <w:sz w:val="22"/>
          <w:szCs w:val="22"/>
        </w:rPr>
        <w:t xml:space="preserve">, store#, address). </w:t>
      </w:r>
    </w:p>
    <w:p w14:paraId="4E050E58" w14:textId="77777777" w:rsidR="00A07D85" w:rsidRDefault="00A07D85" w:rsidP="00A07D85">
      <w:pPr>
        <w:pStyle w:val="ListParagraph"/>
        <w:rPr>
          <w:sz w:val="22"/>
          <w:szCs w:val="22"/>
        </w:rPr>
      </w:pPr>
    </w:p>
    <w:p w14:paraId="0C8587FD" w14:textId="4A08426A" w:rsidR="00A07D85" w:rsidRPr="00A07D85" w:rsidRDefault="00A07D85" w:rsidP="00A07D85">
      <w:pPr>
        <w:pStyle w:val="ListParagraph"/>
        <w:rPr>
          <w:sz w:val="22"/>
          <w:szCs w:val="22"/>
        </w:rPr>
      </w:pPr>
      <w:r w:rsidRPr="00A07D85">
        <w:drawing>
          <wp:inline distT="0" distB="0" distL="0" distR="0" wp14:anchorId="507B1199" wp14:editId="1A3C83FB">
            <wp:extent cx="5028427" cy="2374224"/>
            <wp:effectExtent l="12700" t="12700" r="13970" b="13970"/>
            <wp:docPr id="3" name="Picture 3" descr="A picture containing text,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46061" cy="2382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8BD753E" w14:textId="1E9FF17A" w:rsidR="003D5014" w:rsidRDefault="003D5014" w:rsidP="003D5014">
      <w:pPr>
        <w:rPr>
          <w:sz w:val="22"/>
          <w:szCs w:val="22"/>
        </w:rPr>
      </w:pPr>
    </w:p>
    <w:p w14:paraId="49AB6DAD" w14:textId="041C5A76" w:rsidR="00A07D85" w:rsidRDefault="00A07D85" w:rsidP="00A07D85">
      <w:pPr>
        <w:pStyle w:val="ListParagraph"/>
        <w:numPr>
          <w:ilvl w:val="0"/>
          <w:numId w:val="1"/>
        </w:numPr>
        <w:rPr>
          <w:sz w:val="22"/>
          <w:szCs w:val="22"/>
        </w:rPr>
      </w:pPr>
      <w:r>
        <w:rPr>
          <w:sz w:val="22"/>
          <w:szCs w:val="22"/>
        </w:rPr>
        <w:t xml:space="preserve">The blending of readiness statuses within a cluster dictates the cluster’s color (so a mix of Ready and At Risk in a certain geographical area will generate a lighter green cluster, </w:t>
      </w:r>
      <w:proofErr w:type="spellStart"/>
      <w:r>
        <w:rPr>
          <w:sz w:val="22"/>
          <w:szCs w:val="22"/>
        </w:rPr>
        <w:t>etc</w:t>
      </w:r>
      <w:proofErr w:type="spellEnd"/>
      <w:r>
        <w:rPr>
          <w:sz w:val="22"/>
          <w:szCs w:val="22"/>
        </w:rPr>
        <w:t>)</w:t>
      </w:r>
    </w:p>
    <w:p w14:paraId="4EC71E3C" w14:textId="77777777" w:rsidR="005D253E" w:rsidRDefault="005D253E" w:rsidP="005D253E">
      <w:pPr>
        <w:pStyle w:val="ListParagraph"/>
        <w:rPr>
          <w:sz w:val="22"/>
          <w:szCs w:val="22"/>
        </w:rPr>
      </w:pPr>
    </w:p>
    <w:p w14:paraId="78FF9F1F" w14:textId="0E210FD6" w:rsidR="00A07D85" w:rsidRPr="00A07D85" w:rsidRDefault="005D253E" w:rsidP="005D253E">
      <w:pPr>
        <w:ind w:left="2880"/>
        <w:rPr>
          <w:sz w:val="22"/>
          <w:szCs w:val="22"/>
        </w:rPr>
      </w:pPr>
      <w:r w:rsidRPr="005D253E">
        <w:rPr>
          <w:sz w:val="22"/>
          <w:szCs w:val="22"/>
        </w:rPr>
        <w:drawing>
          <wp:inline distT="0" distB="0" distL="0" distR="0" wp14:anchorId="25692FE7" wp14:editId="4DEA3F73">
            <wp:extent cx="2969565" cy="1521902"/>
            <wp:effectExtent l="12700" t="12700" r="15240" b="15240"/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2067" cy="153343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sectPr w:rsidR="00A07D85" w:rsidRPr="00A07D85" w:rsidSect="00EC40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524A04"/>
    <w:multiLevelType w:val="hybridMultilevel"/>
    <w:tmpl w:val="A1BE6B0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5014"/>
    <w:rsid w:val="000E193F"/>
    <w:rsid w:val="00247246"/>
    <w:rsid w:val="003D5014"/>
    <w:rsid w:val="003E6261"/>
    <w:rsid w:val="004E6D18"/>
    <w:rsid w:val="005D253E"/>
    <w:rsid w:val="00737FBD"/>
    <w:rsid w:val="00745CE9"/>
    <w:rsid w:val="00771847"/>
    <w:rsid w:val="008E6879"/>
    <w:rsid w:val="00A07D85"/>
    <w:rsid w:val="00A725F6"/>
    <w:rsid w:val="00E51423"/>
    <w:rsid w:val="00EC406F"/>
    <w:rsid w:val="00F16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50CA20"/>
  <w14:defaultImageDpi w14:val="32767"/>
  <w15:chartTrackingRefBased/>
  <w15:docId w15:val="{C5C90402-7571-C347-BAED-09377A58B7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5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Gibbs, Ryan</dc:creator>
  <cp:keywords/>
  <dc:description/>
  <cp:lastModifiedBy>Gibbs, Ryan</cp:lastModifiedBy>
  <cp:revision>2</cp:revision>
  <dcterms:created xsi:type="dcterms:W3CDTF">2020-04-24T16:40:00Z</dcterms:created>
  <dcterms:modified xsi:type="dcterms:W3CDTF">2020-04-24T17:15:00Z</dcterms:modified>
</cp:coreProperties>
</file>